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BDCF" w14:textId="77777777" w:rsidR="001C4B17" w:rsidRPr="001C4B17" w:rsidRDefault="001C4B17" w:rsidP="001C4B1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1C4B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Neugebauer R, Kline J, Markowitz JC, Bleiberg K, </w:t>
      </w:r>
      <w:proofErr w:type="spellStart"/>
      <w:r w:rsidRPr="001C4B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Baxi</w:t>
      </w:r>
      <w:proofErr w:type="spellEnd"/>
      <w:r w:rsidRPr="001C4B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L, </w:t>
      </w:r>
      <w:proofErr w:type="spellStart"/>
      <w:r w:rsidRPr="001C4B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>Rosing</w:t>
      </w:r>
      <w:proofErr w:type="spellEnd"/>
      <w:r w:rsidRPr="001C4B1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M, Levin B, Keith J (2006)</w:t>
      </w:r>
    </w:p>
    <w:p w14:paraId="6DFF6CD6" w14:textId="77777777" w:rsidR="001C4B17" w:rsidRPr="001C4B17" w:rsidRDefault="001C4B17" w:rsidP="001C4B1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 </w:t>
      </w:r>
    </w:p>
    <w:p w14:paraId="7AFF483F" w14:textId="77777777" w:rsidR="001C4B17" w:rsidRPr="001C4B17" w:rsidRDefault="001C4B17" w:rsidP="001C4B1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 xml:space="preserve">Pilot randomized controlled trial of interpersonal </w:t>
      </w:r>
      <w:proofErr w:type="spellStart"/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counseling</w:t>
      </w:r>
      <w:proofErr w:type="spellEnd"/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 xml:space="preserve"> for subsyndromal dep</w:t>
      </w:r>
      <w:bookmarkStart w:id="0" w:name="_GoBack"/>
      <w:bookmarkEnd w:id="0"/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ression following miscarriage. </w:t>
      </w:r>
    </w:p>
    <w:p w14:paraId="2E83987E" w14:textId="77777777" w:rsidR="001C4B17" w:rsidRPr="001C4B17" w:rsidRDefault="001C4B17" w:rsidP="001C4B1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 </w:t>
      </w:r>
    </w:p>
    <w:p w14:paraId="097DDA24" w14:textId="77777777" w:rsidR="001C4B17" w:rsidRPr="001C4B17" w:rsidRDefault="001C4B17" w:rsidP="001C4B1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 xml:space="preserve">Journal of Clinical Psychiatry </w:t>
      </w:r>
      <w:proofErr w:type="gramStart"/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2006;67:1299</w:t>
      </w:r>
      <w:proofErr w:type="gramEnd"/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-1304.</w:t>
      </w:r>
    </w:p>
    <w:p w14:paraId="3C264BAE" w14:textId="77777777" w:rsidR="001C4B17" w:rsidRPr="001C4B17" w:rsidRDefault="001C4B17" w:rsidP="001C4B17">
      <w:pPr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n-GB"/>
        </w:rPr>
        <w:t> </w:t>
      </w:r>
    </w:p>
    <w:p w14:paraId="24321952" w14:textId="77777777" w:rsidR="001C4B17" w:rsidRPr="001C4B17" w:rsidRDefault="001C4B17" w:rsidP="001C4B17">
      <w:pPr>
        <w:spacing w:after="0" w:line="240" w:lineRule="auto"/>
        <w:outlineLvl w:val="2"/>
        <w:rPr>
          <w:rFonts w:ascii="Calibri Light" w:eastAsia="Times New Roman" w:hAnsi="Calibri Light" w:cs="Calibri Light"/>
          <w:b/>
          <w:bCs/>
          <w:color w:val="1F3763"/>
          <w:sz w:val="24"/>
          <w:szCs w:val="24"/>
          <w:lang w:eastAsia="en-GB"/>
        </w:rPr>
      </w:pPr>
      <w:r w:rsidRPr="001C4B17">
        <w:rPr>
          <w:rFonts w:ascii="Arial" w:eastAsia="Times New Roman" w:hAnsi="Arial" w:cs="Arial"/>
          <w:b/>
          <w:bCs/>
          <w:color w:val="985735"/>
          <w:sz w:val="26"/>
          <w:szCs w:val="26"/>
          <w:lang w:eastAsia="en-GB"/>
        </w:rPr>
        <w:t>Abstract</w:t>
      </w:r>
    </w:p>
    <w:p w14:paraId="310220BA" w14:textId="77777777" w:rsidR="001C4B17" w:rsidRPr="001C4B17" w:rsidRDefault="001C4B17" w:rsidP="001C4B17">
      <w:pPr>
        <w:spacing w:after="0" w:line="240" w:lineRule="auto"/>
        <w:ind w:right="60"/>
        <w:outlineLvl w:val="3"/>
        <w:rPr>
          <w:rFonts w:ascii="Calibri Light" w:eastAsia="Times New Roman" w:hAnsi="Calibri Light" w:cs="Calibri Light"/>
          <w:b/>
          <w:bCs/>
          <w:i/>
          <w:iCs/>
          <w:color w:val="2F5496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en-GB"/>
        </w:rPr>
        <w:t>OBJECTIVE: </w:t>
      </w:r>
    </w:p>
    <w:p w14:paraId="39AE536A" w14:textId="77777777" w:rsidR="001C4B17" w:rsidRPr="001C4B17" w:rsidRDefault="001C4B17" w:rsidP="001C4B1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Miscarriage, which occurs in 10% to 20% of clinically recognized pregnancies, is associated with an increased risk for subsyndromal depression. We examined whether Interpersonal </w:t>
      </w:r>
      <w:proofErr w:type="spellStart"/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Counseling</w:t>
      </w:r>
      <w:proofErr w:type="spellEnd"/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(IPC) was superior to treatment as usual (TAU) in reducing subsyndromal depression among miscarrying women and, secondarily, superior to TAU in improving role functioning.</w:t>
      </w:r>
    </w:p>
    <w:p w14:paraId="6FC2ED29" w14:textId="77777777" w:rsidR="001C4B17" w:rsidRPr="001C4B17" w:rsidRDefault="001C4B17" w:rsidP="001C4B17">
      <w:pPr>
        <w:spacing w:after="0" w:line="240" w:lineRule="auto"/>
        <w:ind w:right="60"/>
        <w:outlineLvl w:val="3"/>
        <w:rPr>
          <w:rFonts w:ascii="Calibri Light" w:eastAsia="Times New Roman" w:hAnsi="Calibri Light" w:cs="Calibri Light"/>
          <w:b/>
          <w:bCs/>
          <w:i/>
          <w:iCs/>
          <w:color w:val="2F5496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en-GB"/>
        </w:rPr>
        <w:t>METHOD: </w:t>
      </w:r>
    </w:p>
    <w:p w14:paraId="24112E10" w14:textId="77777777" w:rsidR="001C4B17" w:rsidRPr="001C4B17" w:rsidRDefault="001C4B17" w:rsidP="001C4B1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Nineteen of 20 eligible women participated in a randomized controlled trial of 1 to 6 weekly telephone sessions of IPC versus TAU, which consisted of whatever lay </w:t>
      </w:r>
      <w:proofErr w:type="spellStart"/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counseling</w:t>
      </w:r>
      <w:proofErr w:type="spellEnd"/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or professional care women sought on their own initiative, from October 2001 to April 2002. The 2 trial arms were compared on mean within-subject change in Hamilton Rating Scale for Depression-17-item (HAM-D-17) scores and in role functioning scale scores (a 5-item modification of the 36-item Medical Outcomes Study questionnaire) from baseline to post-intervention.</w:t>
      </w:r>
    </w:p>
    <w:p w14:paraId="4220F281" w14:textId="77777777" w:rsidR="001C4B17" w:rsidRPr="001C4B17" w:rsidRDefault="001C4B17" w:rsidP="001C4B17">
      <w:pPr>
        <w:spacing w:after="0" w:line="240" w:lineRule="auto"/>
        <w:ind w:right="60"/>
        <w:outlineLvl w:val="3"/>
        <w:rPr>
          <w:rFonts w:ascii="Calibri Light" w:eastAsia="Times New Roman" w:hAnsi="Calibri Light" w:cs="Calibri Light"/>
          <w:b/>
          <w:bCs/>
          <w:i/>
          <w:iCs/>
          <w:color w:val="2F5496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en-GB"/>
        </w:rPr>
        <w:t>RESULTS: </w:t>
      </w:r>
    </w:p>
    <w:p w14:paraId="05041EC7" w14:textId="77777777" w:rsidR="001C4B17" w:rsidRPr="001C4B17" w:rsidRDefault="001C4B17" w:rsidP="001C4B1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 the primary intent-to-treat analysis, the baseline mean HAM-D-17 scores were 18.0 (SD +/- 8.4) and 14.8 (SD +/- 6.6) in the IPC (N = 10) and TAU (N = 9) arms, respectively; post-intervention, the corresponding means were 11.6 (SD +/- 8.2) and 12.9 (SD +/- 8.3). </w:t>
      </w:r>
      <w:r w:rsidRPr="001C4B1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 mean within-subject decline in HAM-D-17 scores was significantly greater in the IPC (6.4) than in the TAU (1.9) arm </w:t>
      </w:r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(difference in mean within-subject score decline, adjusted for design features, baseline HAM-D-17 scores and for baseline ethnic imbalance between study arms, 6.2 [95% CI = 0.4 to 12.0]). In a subordinate completers' analysis (N = 15), the corresponding mean decline and difference in adjusted mean decline were 8.0, 2.4, and 6.7 (95% CI = 0.4 to 13.1), respectively. Treatment was unrelated to improved role functioning.</w:t>
      </w:r>
    </w:p>
    <w:p w14:paraId="0A1D5897" w14:textId="77777777" w:rsidR="001C4B17" w:rsidRPr="001C4B17" w:rsidRDefault="001C4B17" w:rsidP="001C4B17">
      <w:pPr>
        <w:spacing w:after="0" w:line="240" w:lineRule="auto"/>
        <w:ind w:right="60"/>
        <w:outlineLvl w:val="3"/>
        <w:rPr>
          <w:rFonts w:ascii="Calibri Light" w:eastAsia="Times New Roman" w:hAnsi="Calibri Light" w:cs="Calibri Light"/>
          <w:b/>
          <w:bCs/>
          <w:i/>
          <w:iCs/>
          <w:color w:val="2F5496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en-GB"/>
        </w:rPr>
        <w:t>CONCLUSION: </w:t>
      </w:r>
    </w:p>
    <w:p w14:paraId="22DC5759" w14:textId="77777777" w:rsidR="001C4B17" w:rsidRPr="001C4B17" w:rsidRDefault="001C4B17" w:rsidP="001C4B1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C4B17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The efficacy of telephone-administered IPC for subsyndromal depression after miscarriage warrants testing in a full-scale randomized controlled trial</w:t>
      </w:r>
    </w:p>
    <w:p w14:paraId="73D3C3FB" w14:textId="77777777" w:rsidR="00E052D3" w:rsidRDefault="00E052D3"/>
    <w:sectPr w:rsidR="00E05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2956"/>
    <w:multiLevelType w:val="multilevel"/>
    <w:tmpl w:val="F096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17"/>
    <w:rsid w:val="001C4B17"/>
    <w:rsid w:val="00E0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24CD"/>
  <w15:chartTrackingRefBased/>
  <w15:docId w15:val="{1990E1C5-0744-4429-88BB-0FD077A5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C4B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B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C4B1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 UK</dc:creator>
  <cp:keywords/>
  <dc:description/>
  <cp:lastModifiedBy>IPT UK</cp:lastModifiedBy>
  <cp:revision>1</cp:revision>
  <dcterms:created xsi:type="dcterms:W3CDTF">2020-03-25T16:12:00Z</dcterms:created>
  <dcterms:modified xsi:type="dcterms:W3CDTF">2020-03-25T16:15:00Z</dcterms:modified>
</cp:coreProperties>
</file>